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2" w:rsidRPr="004367E2" w:rsidRDefault="004367E2" w:rsidP="004367E2"/>
    <w:p w:rsidR="004367E2" w:rsidRPr="004367E2" w:rsidRDefault="004367E2" w:rsidP="004367E2"/>
    <w:p w:rsidR="004367E2" w:rsidRPr="004367E2" w:rsidRDefault="004367E2" w:rsidP="004367E2"/>
    <w:p w:rsidR="004367E2" w:rsidRPr="004367E2" w:rsidRDefault="004367E2" w:rsidP="004367E2"/>
    <w:p w:rsidR="004367E2" w:rsidRPr="004367E2" w:rsidRDefault="004367E2" w:rsidP="004367E2"/>
    <w:p w:rsidR="004367E2" w:rsidRDefault="004367E2" w:rsidP="004367E2"/>
    <w:p w:rsidR="004367E2" w:rsidRPr="00834606" w:rsidRDefault="004367E2" w:rsidP="004367E2">
      <w:pPr>
        <w:jc w:val="center"/>
        <w:rPr>
          <w:b/>
        </w:rPr>
      </w:pPr>
      <w:r>
        <w:tab/>
      </w:r>
      <w:r w:rsidRPr="00834606">
        <w:rPr>
          <w:b/>
        </w:rPr>
        <w:t>ИНФОРМАЦИЯ О РАЗВИТИИ РЫНКА (СКЛАДСКАЯ НЕДВИЖИМОСТЬ)</w:t>
      </w:r>
    </w:p>
    <w:p w:rsidR="004367E2" w:rsidRDefault="004367E2" w:rsidP="004367E2">
      <w:pPr>
        <w:jc w:val="center"/>
      </w:pPr>
    </w:p>
    <w:p w:rsidR="004367E2" w:rsidRPr="00594D90" w:rsidRDefault="004367E2" w:rsidP="004367E2"/>
    <w:p w:rsidR="004367E2" w:rsidRDefault="004367E2" w:rsidP="004367E2">
      <w:pPr>
        <w:tabs>
          <w:tab w:val="left" w:pos="3872"/>
        </w:tabs>
        <w:jc w:val="center"/>
        <w:rPr>
          <w:b/>
        </w:rPr>
      </w:pPr>
      <w:r w:rsidRPr="00704D4E">
        <w:rPr>
          <w:b/>
        </w:rPr>
        <w:t xml:space="preserve">АКТУАЛЬНОСТЬ </w:t>
      </w:r>
      <w:proofErr w:type="gramStart"/>
      <w:r w:rsidRPr="00704D4E">
        <w:rPr>
          <w:b/>
        </w:rPr>
        <w:t>–</w:t>
      </w:r>
      <w:r w:rsidR="008E6494">
        <w:rPr>
          <w:b/>
        </w:rPr>
        <w:t>О</w:t>
      </w:r>
      <w:proofErr w:type="gramEnd"/>
      <w:r w:rsidR="008E6494">
        <w:rPr>
          <w:b/>
        </w:rPr>
        <w:t xml:space="preserve">КТЯБРЬ </w:t>
      </w:r>
      <w:r>
        <w:rPr>
          <w:b/>
        </w:rPr>
        <w:t xml:space="preserve">  </w:t>
      </w:r>
      <w:r w:rsidRPr="00704D4E">
        <w:rPr>
          <w:b/>
        </w:rPr>
        <w:t xml:space="preserve"> 2016г.</w:t>
      </w:r>
    </w:p>
    <w:p w:rsidR="004367E2" w:rsidRDefault="004367E2" w:rsidP="004367E2">
      <w:pPr>
        <w:tabs>
          <w:tab w:val="left" w:pos="3872"/>
        </w:tabs>
        <w:jc w:val="center"/>
        <w:rPr>
          <w:b/>
        </w:rPr>
      </w:pPr>
      <w:r>
        <w:rPr>
          <w:b/>
        </w:rPr>
        <w:t>ИТОГИ ПЕРВОГО ПОЛУГОДИЯ 2016 ГОДА.</w:t>
      </w:r>
    </w:p>
    <w:p w:rsidR="004367E2" w:rsidRDefault="004367E2" w:rsidP="004367E2">
      <w:pPr>
        <w:tabs>
          <w:tab w:val="left" w:pos="3872"/>
        </w:tabs>
        <w:jc w:val="center"/>
        <w:rPr>
          <w:b/>
        </w:rPr>
      </w:pPr>
    </w:p>
    <w:p w:rsidR="004367E2" w:rsidRPr="004B1896" w:rsidRDefault="004367E2" w:rsidP="004367E2">
      <w:pPr>
        <w:tabs>
          <w:tab w:val="left" w:pos="3872"/>
        </w:tabs>
        <w:jc w:val="center"/>
      </w:pPr>
      <w:r w:rsidRPr="004B1896">
        <w:t xml:space="preserve">МИНСК/МИНСКИЙ  РАЙОН </w:t>
      </w:r>
    </w:p>
    <w:p w:rsidR="00640EDA" w:rsidRDefault="00640EDA" w:rsidP="004367E2">
      <w:pPr>
        <w:tabs>
          <w:tab w:val="left" w:pos="2970"/>
        </w:tabs>
      </w:pPr>
    </w:p>
    <w:p w:rsidR="00640EDA" w:rsidRPr="00640EDA" w:rsidRDefault="00640EDA" w:rsidP="00640EDA"/>
    <w:p w:rsidR="00640EDA" w:rsidRPr="00640EDA" w:rsidRDefault="00640EDA" w:rsidP="00640EDA"/>
    <w:p w:rsidR="00113B65" w:rsidRDefault="00640EDA" w:rsidP="00640EDA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2" descr="D:\работа\New life 2013\РАБОТА ВСЕ\Склады и производства\Фото по объектам и документы\ЩЕмыслицы Азербайджан\IMG_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New life 2013\РАБОТА ВСЕ\Склады и производства\Фото по объектам и документы\ЩЕмыслицы Азербайджан\IMG_6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940C03" w:rsidP="00640EDA">
      <w:pPr>
        <w:tabs>
          <w:tab w:val="left" w:pos="2265"/>
        </w:tabs>
      </w:pPr>
    </w:p>
    <w:p w:rsidR="00940C03" w:rsidRDefault="00C25BF2" w:rsidP="00C25BF2">
      <w:pPr>
        <w:tabs>
          <w:tab w:val="left" w:pos="3195"/>
        </w:tabs>
      </w:pPr>
      <w:r>
        <w:tab/>
        <w:t>ОБЩИЕ ТЕНДЕНЦИИ</w:t>
      </w:r>
    </w:p>
    <w:p w:rsidR="00C25BF2" w:rsidRDefault="00C25BF2" w:rsidP="00C25BF2">
      <w:pPr>
        <w:tabs>
          <w:tab w:val="left" w:pos="3195"/>
        </w:tabs>
      </w:pPr>
    </w:p>
    <w:p w:rsidR="00CB04CF" w:rsidRDefault="00452AFB" w:rsidP="00452AFB">
      <w:pPr>
        <w:tabs>
          <w:tab w:val="left" w:pos="22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BF2" w:rsidRPr="00C25BF2">
        <w:rPr>
          <w:sz w:val="28"/>
          <w:szCs w:val="28"/>
        </w:rPr>
        <w:t xml:space="preserve">В течение </w:t>
      </w:r>
      <w:r w:rsidR="00C25BF2">
        <w:rPr>
          <w:sz w:val="28"/>
          <w:szCs w:val="28"/>
        </w:rPr>
        <w:t xml:space="preserve">первого </w:t>
      </w:r>
      <w:r w:rsidR="00C25BF2" w:rsidRPr="00C25BF2">
        <w:rPr>
          <w:sz w:val="28"/>
          <w:szCs w:val="28"/>
        </w:rPr>
        <w:t>полугод</w:t>
      </w:r>
      <w:r w:rsidR="00C25BF2">
        <w:rPr>
          <w:sz w:val="28"/>
          <w:szCs w:val="28"/>
        </w:rPr>
        <w:t xml:space="preserve">ия 2016 года </w:t>
      </w:r>
      <w:r w:rsidR="00C25BF2" w:rsidRPr="00C25BF2">
        <w:rPr>
          <w:sz w:val="28"/>
          <w:szCs w:val="28"/>
        </w:rPr>
        <w:t xml:space="preserve"> никаких новых проектов  </w:t>
      </w:r>
      <w:r w:rsidR="00C25BF2">
        <w:rPr>
          <w:sz w:val="28"/>
          <w:szCs w:val="28"/>
        </w:rPr>
        <w:t xml:space="preserve">в рамках строительства складских комплексов не было заявлено. Реализовываются лишь проекты, которые были начаты в предыдущий период. Многие отказываются от участков, которые были </w:t>
      </w:r>
      <w:r w:rsidR="00E4066A">
        <w:rPr>
          <w:sz w:val="28"/>
          <w:szCs w:val="28"/>
        </w:rPr>
        <w:t xml:space="preserve">предусмотрены под складские терминалы. </w:t>
      </w:r>
      <w:r w:rsidR="00C25BF2">
        <w:rPr>
          <w:sz w:val="28"/>
          <w:szCs w:val="28"/>
        </w:rPr>
        <w:t xml:space="preserve">  </w:t>
      </w:r>
    </w:p>
    <w:p w:rsidR="00452AFB" w:rsidRDefault="00CB04CF" w:rsidP="00452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04CF">
        <w:rPr>
          <w:sz w:val="28"/>
          <w:szCs w:val="28"/>
        </w:rPr>
        <w:t xml:space="preserve">Уровень ставок аренды достиг некомфортных для </w:t>
      </w:r>
      <w:proofErr w:type="spellStart"/>
      <w:r w:rsidRPr="00CB04CF">
        <w:rPr>
          <w:sz w:val="28"/>
          <w:szCs w:val="28"/>
        </w:rPr>
        <w:t>девелоперов</w:t>
      </w:r>
      <w:proofErr w:type="spellEnd"/>
      <w:r w:rsidRPr="00CB04CF">
        <w:rPr>
          <w:sz w:val="28"/>
          <w:szCs w:val="28"/>
        </w:rPr>
        <w:t xml:space="preserve"> значений, в связи с чем можно предположить, что новые объекты будут строиться </w:t>
      </w:r>
      <w:proofErr w:type="spellStart"/>
      <w:r w:rsidRPr="00CB04CF">
        <w:rPr>
          <w:sz w:val="28"/>
          <w:szCs w:val="28"/>
        </w:rPr>
        <w:t>пр</w:t>
      </w:r>
      <w:proofErr w:type="gramStart"/>
      <w:r w:rsidRPr="00CB04CF">
        <w:rPr>
          <w:sz w:val="28"/>
          <w:szCs w:val="28"/>
        </w:rPr>
        <w:t>е</w:t>
      </w:r>
      <w:proofErr w:type="spellEnd"/>
      <w:r w:rsidRPr="00CB04CF">
        <w:rPr>
          <w:sz w:val="28"/>
          <w:szCs w:val="28"/>
        </w:rPr>
        <w:t>-</w:t>
      </w:r>
      <w:proofErr w:type="gramEnd"/>
      <w:r w:rsidRPr="00CB04CF">
        <w:rPr>
          <w:sz w:val="28"/>
          <w:szCs w:val="28"/>
        </w:rPr>
        <w:t xml:space="preserve"> имущественно под клиента, а объем спекулятивного </w:t>
      </w:r>
      <w:proofErr w:type="spellStart"/>
      <w:r w:rsidRPr="00CB04CF">
        <w:rPr>
          <w:sz w:val="28"/>
          <w:szCs w:val="28"/>
        </w:rPr>
        <w:t>девелопмента</w:t>
      </w:r>
      <w:proofErr w:type="spellEnd"/>
      <w:r w:rsidRPr="00CB04CF">
        <w:rPr>
          <w:sz w:val="28"/>
          <w:szCs w:val="28"/>
        </w:rPr>
        <w:t xml:space="preserve"> будет стремиться к минимальному значению</w:t>
      </w:r>
      <w:r>
        <w:rPr>
          <w:sz w:val="28"/>
          <w:szCs w:val="28"/>
        </w:rPr>
        <w:t>.</w:t>
      </w:r>
      <w:r w:rsidR="00757E3E">
        <w:rPr>
          <w:sz w:val="28"/>
          <w:szCs w:val="28"/>
        </w:rPr>
        <w:t xml:space="preserve"> </w:t>
      </w:r>
      <w:r w:rsidR="002754E7">
        <w:rPr>
          <w:sz w:val="28"/>
          <w:szCs w:val="28"/>
        </w:rPr>
        <w:t>Так в</w:t>
      </w:r>
      <w:r w:rsidR="00757E3E">
        <w:rPr>
          <w:sz w:val="28"/>
          <w:szCs w:val="28"/>
        </w:rPr>
        <w:t xml:space="preserve"> Москве и регионах</w:t>
      </w:r>
      <w:r w:rsidR="000347A2">
        <w:rPr>
          <w:sz w:val="28"/>
          <w:szCs w:val="28"/>
        </w:rPr>
        <w:t xml:space="preserve"> реализованные и реализовываемые проекты под клиента  в этом году</w:t>
      </w:r>
      <w:r w:rsidR="000347A2" w:rsidRPr="000347A2">
        <w:rPr>
          <w:sz w:val="28"/>
          <w:szCs w:val="28"/>
        </w:rPr>
        <w:t xml:space="preserve"> </w:t>
      </w:r>
      <w:r w:rsidR="00757E3E">
        <w:rPr>
          <w:sz w:val="28"/>
          <w:szCs w:val="28"/>
        </w:rPr>
        <w:t xml:space="preserve"> </w:t>
      </w:r>
      <w:r w:rsidR="000347A2">
        <w:rPr>
          <w:sz w:val="28"/>
          <w:szCs w:val="28"/>
        </w:rPr>
        <w:t xml:space="preserve">составили 80 </w:t>
      </w:r>
      <w:r w:rsidR="000347A2" w:rsidRPr="000347A2">
        <w:rPr>
          <w:sz w:val="28"/>
          <w:szCs w:val="28"/>
        </w:rPr>
        <w:t xml:space="preserve">% </w:t>
      </w:r>
      <w:r w:rsidR="000347A2">
        <w:rPr>
          <w:sz w:val="28"/>
          <w:szCs w:val="28"/>
        </w:rPr>
        <w:t xml:space="preserve">от всего объема складских объектов. </w:t>
      </w:r>
      <w:r w:rsidR="00757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2AFB" w:rsidRPr="00452AFB">
        <w:rPr>
          <w:sz w:val="28"/>
          <w:szCs w:val="28"/>
        </w:rPr>
        <w:t>При этом в ближайший год спрос будет сконцентрирован преимущественно на аренде зданий, а объемы продаж останутся небольшими</w:t>
      </w:r>
      <w:r w:rsidR="00452AFB">
        <w:rPr>
          <w:sz w:val="28"/>
          <w:szCs w:val="28"/>
        </w:rPr>
        <w:t xml:space="preserve">. </w:t>
      </w:r>
    </w:p>
    <w:p w:rsidR="00452AFB" w:rsidRDefault="000A5EF4" w:rsidP="00452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2AFB" w:rsidRPr="00452AFB">
        <w:rPr>
          <w:sz w:val="28"/>
          <w:szCs w:val="28"/>
        </w:rPr>
        <w:t>Есть предположение  развития сетей</w:t>
      </w:r>
      <w:r w:rsidR="00452AFB">
        <w:rPr>
          <w:sz w:val="28"/>
          <w:szCs w:val="28"/>
        </w:rPr>
        <w:t xml:space="preserve"> /</w:t>
      </w:r>
      <w:proofErr w:type="spellStart"/>
      <w:r w:rsidR="00452AFB">
        <w:rPr>
          <w:sz w:val="28"/>
          <w:szCs w:val="28"/>
        </w:rPr>
        <w:t>интернет-торговли</w:t>
      </w:r>
      <w:proofErr w:type="spellEnd"/>
      <w:r w:rsidR="00452AFB">
        <w:rPr>
          <w:sz w:val="28"/>
          <w:szCs w:val="28"/>
        </w:rPr>
        <w:t>/</w:t>
      </w:r>
      <w:proofErr w:type="spellStart"/>
      <w:r w:rsidR="00452AFB">
        <w:rPr>
          <w:sz w:val="28"/>
          <w:szCs w:val="28"/>
        </w:rPr>
        <w:t>логистических</w:t>
      </w:r>
      <w:proofErr w:type="spellEnd"/>
      <w:r w:rsidR="00452AFB">
        <w:rPr>
          <w:sz w:val="28"/>
          <w:szCs w:val="28"/>
        </w:rPr>
        <w:t xml:space="preserve"> операторов  </w:t>
      </w:r>
      <w:r w:rsidR="00452AFB" w:rsidRPr="00452AFB">
        <w:rPr>
          <w:sz w:val="28"/>
          <w:szCs w:val="28"/>
        </w:rPr>
        <w:t xml:space="preserve"> и увеличения доли сделок по аренде</w:t>
      </w:r>
      <w:r w:rsidR="002754E7">
        <w:rPr>
          <w:sz w:val="28"/>
          <w:szCs w:val="28"/>
        </w:rPr>
        <w:t xml:space="preserve">/покупке </w:t>
      </w:r>
      <w:r w:rsidR="00452AFB" w:rsidRPr="00452AFB">
        <w:rPr>
          <w:sz w:val="28"/>
          <w:szCs w:val="28"/>
        </w:rPr>
        <w:t xml:space="preserve">  за пред</w:t>
      </w:r>
      <w:r w:rsidR="00452AFB">
        <w:rPr>
          <w:sz w:val="28"/>
          <w:szCs w:val="28"/>
        </w:rPr>
        <w:t>е</w:t>
      </w:r>
      <w:r w:rsidR="00452AFB" w:rsidRPr="00452AFB">
        <w:rPr>
          <w:sz w:val="28"/>
          <w:szCs w:val="28"/>
        </w:rPr>
        <w:t xml:space="preserve">лами Минского  региона. </w:t>
      </w:r>
      <w:r w:rsidR="00452AFB">
        <w:rPr>
          <w:sz w:val="28"/>
          <w:szCs w:val="28"/>
        </w:rPr>
        <w:t xml:space="preserve">Также эта тенденция заметна и в производственном сегменте, где предприятия с иностранными инвестициями, </w:t>
      </w:r>
      <w:r>
        <w:rPr>
          <w:sz w:val="28"/>
          <w:szCs w:val="28"/>
        </w:rPr>
        <w:t>ориентированы</w:t>
      </w:r>
      <w:r w:rsidR="00452AFB">
        <w:rPr>
          <w:sz w:val="28"/>
          <w:szCs w:val="28"/>
        </w:rPr>
        <w:t xml:space="preserve"> на экспорт. Именно областные города близкие к границ</w:t>
      </w:r>
      <w:r>
        <w:rPr>
          <w:sz w:val="28"/>
          <w:szCs w:val="28"/>
        </w:rPr>
        <w:t>е</w:t>
      </w:r>
      <w:r w:rsidR="00452AFB">
        <w:rPr>
          <w:sz w:val="28"/>
          <w:szCs w:val="28"/>
        </w:rPr>
        <w:t xml:space="preserve"> ЕС их очень привлекают. </w:t>
      </w:r>
    </w:p>
    <w:p w:rsidR="00F749DE" w:rsidRDefault="00452AFB" w:rsidP="00452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спрос на качественные складские   и производственные помещения в региональных городах обуславливается банально их отсутствием.  </w:t>
      </w:r>
    </w:p>
    <w:p w:rsidR="00F749DE" w:rsidRPr="00F749DE" w:rsidRDefault="00F749DE" w:rsidP="00F749DE">
      <w:pPr>
        <w:rPr>
          <w:sz w:val="28"/>
          <w:szCs w:val="28"/>
        </w:rPr>
      </w:pPr>
    </w:p>
    <w:p w:rsidR="00F749DE" w:rsidRPr="00F749DE" w:rsidRDefault="00F749DE" w:rsidP="00F749DE">
      <w:pPr>
        <w:rPr>
          <w:sz w:val="28"/>
          <w:szCs w:val="28"/>
        </w:rPr>
      </w:pPr>
    </w:p>
    <w:p w:rsidR="00F749DE" w:rsidRPr="00F749DE" w:rsidRDefault="00F749DE" w:rsidP="00F749DE">
      <w:pPr>
        <w:rPr>
          <w:sz w:val="28"/>
          <w:szCs w:val="28"/>
        </w:rPr>
      </w:pPr>
    </w:p>
    <w:p w:rsidR="00F749DE" w:rsidRPr="00F749DE" w:rsidRDefault="00F749DE" w:rsidP="00F749DE">
      <w:pPr>
        <w:rPr>
          <w:sz w:val="28"/>
          <w:szCs w:val="28"/>
        </w:rPr>
      </w:pPr>
    </w:p>
    <w:p w:rsidR="00F749DE" w:rsidRPr="00F749DE" w:rsidRDefault="00F749DE" w:rsidP="00F749DE">
      <w:pPr>
        <w:rPr>
          <w:sz w:val="28"/>
          <w:szCs w:val="28"/>
        </w:rPr>
      </w:pPr>
    </w:p>
    <w:p w:rsidR="00F749DE" w:rsidRPr="00F749DE" w:rsidRDefault="00F749DE" w:rsidP="00F749DE">
      <w:pPr>
        <w:rPr>
          <w:sz w:val="28"/>
          <w:szCs w:val="28"/>
        </w:rPr>
      </w:pPr>
    </w:p>
    <w:p w:rsidR="00F749DE" w:rsidRPr="00F749DE" w:rsidRDefault="00F749DE" w:rsidP="00F749DE">
      <w:pPr>
        <w:rPr>
          <w:sz w:val="28"/>
          <w:szCs w:val="28"/>
        </w:rPr>
      </w:pPr>
    </w:p>
    <w:p w:rsidR="00F749DE" w:rsidRPr="00F749DE" w:rsidRDefault="00F749DE" w:rsidP="00F749DE">
      <w:pPr>
        <w:rPr>
          <w:sz w:val="28"/>
          <w:szCs w:val="28"/>
        </w:rPr>
      </w:pPr>
    </w:p>
    <w:p w:rsidR="00F749DE" w:rsidRDefault="00F749DE" w:rsidP="00F749DE">
      <w:pPr>
        <w:rPr>
          <w:sz w:val="28"/>
          <w:szCs w:val="28"/>
        </w:rPr>
      </w:pPr>
    </w:p>
    <w:p w:rsidR="00940C03" w:rsidRDefault="00F749DE" w:rsidP="00F749DE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49DE" w:rsidRDefault="00F749DE" w:rsidP="00F749DE">
      <w:pPr>
        <w:tabs>
          <w:tab w:val="left" w:pos="3945"/>
        </w:tabs>
        <w:rPr>
          <w:sz w:val="28"/>
          <w:szCs w:val="28"/>
        </w:rPr>
      </w:pPr>
    </w:p>
    <w:p w:rsidR="00F749DE" w:rsidRDefault="00F749DE" w:rsidP="00F749DE">
      <w:pPr>
        <w:tabs>
          <w:tab w:val="left" w:pos="3945"/>
        </w:tabs>
        <w:rPr>
          <w:sz w:val="28"/>
          <w:szCs w:val="28"/>
        </w:rPr>
      </w:pPr>
    </w:p>
    <w:p w:rsidR="00F749DE" w:rsidRDefault="00F749DE" w:rsidP="00F749DE">
      <w:pPr>
        <w:tabs>
          <w:tab w:val="left" w:pos="3945"/>
        </w:tabs>
        <w:rPr>
          <w:sz w:val="28"/>
          <w:szCs w:val="28"/>
        </w:rPr>
      </w:pPr>
    </w:p>
    <w:p w:rsidR="00F749DE" w:rsidRDefault="00F749DE" w:rsidP="00F749DE">
      <w:pPr>
        <w:tabs>
          <w:tab w:val="left" w:pos="3945"/>
        </w:tabs>
        <w:rPr>
          <w:sz w:val="28"/>
          <w:szCs w:val="28"/>
        </w:rPr>
      </w:pPr>
    </w:p>
    <w:p w:rsidR="00F749DE" w:rsidRDefault="00F749DE" w:rsidP="00F749DE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ВАКАНТНОСТЬ СКЛАДСКИХ ПЛОЩАДЕЙ МИНСК И РАЙОН ПО КЛАССАМ АВГУСТ 2016</w:t>
      </w:r>
    </w:p>
    <w:p w:rsidR="00F749DE" w:rsidRDefault="00F749DE" w:rsidP="00F749DE">
      <w:pPr>
        <w:tabs>
          <w:tab w:val="left" w:pos="3945"/>
        </w:tabs>
        <w:jc w:val="center"/>
        <w:rPr>
          <w:sz w:val="28"/>
          <w:szCs w:val="28"/>
        </w:rPr>
      </w:pPr>
    </w:p>
    <w:tbl>
      <w:tblPr>
        <w:tblW w:w="7087" w:type="dxa"/>
        <w:tblInd w:w="534" w:type="dxa"/>
        <w:tblLook w:val="04A0"/>
      </w:tblPr>
      <w:tblGrid>
        <w:gridCol w:w="2351"/>
        <w:gridCol w:w="1506"/>
        <w:gridCol w:w="3230"/>
      </w:tblGrid>
      <w:tr w:rsidR="00F749DE" w:rsidRPr="00F749DE" w:rsidTr="00F749DE">
        <w:trPr>
          <w:trHeight w:val="315"/>
        </w:trPr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ВАКАНТНОСТЬ ПЛОЩАДЕЙ  МИНСК И РАЙОН ПО КЛАССАМ</w:t>
            </w:r>
          </w:p>
        </w:tc>
      </w:tr>
      <w:tr w:rsidR="00F749DE" w:rsidRPr="00F749DE" w:rsidTr="00F749DE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49DE" w:rsidRPr="00F749DE" w:rsidTr="00F749DE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b/>
                <w:color w:val="000000"/>
                <w:sz w:val="22"/>
                <w:szCs w:val="22"/>
              </w:rPr>
              <w:t>КЛАСС А</w:t>
            </w: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 xml:space="preserve"> ВСЕГО КВ</w:t>
            </w:r>
            <w:proofErr w:type="gramStart"/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 xml:space="preserve">ВАКАНТНЫ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 xml:space="preserve">ВАКАНТНОСТЬ </w:t>
            </w:r>
            <w:proofErr w:type="gramStart"/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 xml:space="preserve"> %</w:t>
            </w:r>
          </w:p>
        </w:tc>
      </w:tr>
      <w:tr w:rsidR="00F749DE" w:rsidRPr="00F749DE" w:rsidTr="00F749DE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216 000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86 500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</w:tr>
      <w:tr w:rsidR="00F749DE" w:rsidRPr="00F749DE" w:rsidTr="00F749DE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КЛАСС B </w:t>
            </w: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ВСЕГО КВ</w:t>
            </w:r>
            <w:proofErr w:type="gramStart"/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49DE" w:rsidRPr="00F749DE" w:rsidTr="00F749DE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132 600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10 150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DE" w:rsidRPr="00F749DE" w:rsidRDefault="00F749DE" w:rsidP="00F749D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749DE">
              <w:rPr>
                <w:rFonts w:ascii="Calibri" w:hAnsi="Calibri"/>
                <w:color w:val="000000"/>
                <w:sz w:val="22"/>
                <w:szCs w:val="22"/>
              </w:rPr>
              <w:t>7,60%</w:t>
            </w:r>
          </w:p>
        </w:tc>
      </w:tr>
    </w:tbl>
    <w:p w:rsidR="00F749DE" w:rsidRDefault="00F749DE" w:rsidP="00F749DE">
      <w:pPr>
        <w:tabs>
          <w:tab w:val="left" w:pos="3945"/>
        </w:tabs>
        <w:rPr>
          <w:sz w:val="28"/>
          <w:szCs w:val="28"/>
        </w:rPr>
      </w:pPr>
    </w:p>
    <w:p w:rsidR="00F749DE" w:rsidRPr="00B37672" w:rsidRDefault="00B37672" w:rsidP="00B37672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 w:rsidRPr="00B376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Констатируется </w:t>
      </w:r>
      <w:r w:rsidR="00F749DE">
        <w:rPr>
          <w:sz w:val="28"/>
          <w:szCs w:val="28"/>
        </w:rPr>
        <w:t>большая вакантность складов класса А. К примеру</w:t>
      </w:r>
      <w:r>
        <w:rPr>
          <w:sz w:val="28"/>
          <w:szCs w:val="28"/>
        </w:rPr>
        <w:t xml:space="preserve">, </w:t>
      </w:r>
      <w:r w:rsidR="00F749DE">
        <w:rPr>
          <w:sz w:val="28"/>
          <w:szCs w:val="28"/>
        </w:rPr>
        <w:t xml:space="preserve"> в  Москве и регионах </w:t>
      </w:r>
      <w:r>
        <w:rPr>
          <w:sz w:val="28"/>
          <w:szCs w:val="28"/>
        </w:rPr>
        <w:t xml:space="preserve">она составляет не более 9 </w:t>
      </w:r>
      <w:r w:rsidRPr="00B37672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а до 2015 года была в пределах </w:t>
      </w:r>
      <w:r w:rsidRPr="00B3767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37672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B37672">
        <w:rPr>
          <w:sz w:val="28"/>
          <w:szCs w:val="28"/>
        </w:rPr>
        <w:t xml:space="preserve"> </w:t>
      </w:r>
      <w:r>
        <w:rPr>
          <w:sz w:val="28"/>
          <w:szCs w:val="28"/>
        </w:rPr>
        <w:t>Это говорит о серьезных провалах и отсутствии развития в РБ как розничных сетей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 крупных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операторах.    </w:t>
      </w:r>
    </w:p>
    <w:p w:rsidR="00FC704D" w:rsidRDefault="00F749DE" w:rsidP="00B37672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3458">
        <w:rPr>
          <w:sz w:val="28"/>
          <w:szCs w:val="28"/>
        </w:rPr>
        <w:t>Как всегда</w:t>
      </w:r>
      <w:r>
        <w:rPr>
          <w:sz w:val="28"/>
          <w:szCs w:val="28"/>
        </w:rPr>
        <w:t xml:space="preserve">, </w:t>
      </w:r>
      <w:r w:rsidRPr="0043345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обходимо </w:t>
      </w:r>
      <w:r w:rsidRPr="00630DEB">
        <w:rPr>
          <w:sz w:val="28"/>
          <w:szCs w:val="28"/>
        </w:rPr>
        <w:t xml:space="preserve">отметить, что объекты класса </w:t>
      </w:r>
      <w:r w:rsidRPr="00630DEB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630DEB">
        <w:rPr>
          <w:sz w:val="28"/>
          <w:szCs w:val="28"/>
        </w:rPr>
        <w:t xml:space="preserve"> больше пользуются спросом относительно объектов класса</w:t>
      </w:r>
      <w:proofErr w:type="gramStart"/>
      <w:r w:rsidRPr="00630DEB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 вопреки российским  и европейским тенденциям.</w:t>
      </w:r>
      <w:r w:rsidR="00B37672">
        <w:rPr>
          <w:sz w:val="28"/>
          <w:szCs w:val="28"/>
        </w:rPr>
        <w:t xml:space="preserve"> </w:t>
      </w:r>
      <w:r w:rsidR="00B37672" w:rsidRPr="00630DEB">
        <w:rPr>
          <w:sz w:val="28"/>
          <w:szCs w:val="28"/>
        </w:rPr>
        <w:t xml:space="preserve">Это объясняется тем, что объекты класса В </w:t>
      </w:r>
      <w:proofErr w:type="spellStart"/>
      <w:r w:rsidR="00B37672" w:rsidRPr="00630DEB">
        <w:rPr>
          <w:sz w:val="28"/>
          <w:szCs w:val="28"/>
        </w:rPr>
        <w:t>в</w:t>
      </w:r>
      <w:proofErr w:type="spellEnd"/>
      <w:r w:rsidR="00B37672" w:rsidRPr="00630DEB">
        <w:rPr>
          <w:sz w:val="28"/>
          <w:szCs w:val="28"/>
        </w:rPr>
        <w:t xml:space="preserve"> большинстве своем предлагаются в аренду блоками от 1 000 кв</w:t>
      </w:r>
      <w:proofErr w:type="gramStart"/>
      <w:r w:rsidR="00B37672" w:rsidRPr="00630DEB">
        <w:rPr>
          <w:sz w:val="28"/>
          <w:szCs w:val="28"/>
        </w:rPr>
        <w:t>.м</w:t>
      </w:r>
      <w:proofErr w:type="gramEnd"/>
      <w:r w:rsidR="00B37672" w:rsidRPr="00630DEB">
        <w:rPr>
          <w:sz w:val="28"/>
          <w:szCs w:val="28"/>
        </w:rPr>
        <w:t xml:space="preserve"> и техническими характеристиками привычными большинству пользователей (высота до 8м, рампы внешние</w:t>
      </w:r>
      <w:r w:rsidR="00B37672">
        <w:rPr>
          <w:sz w:val="28"/>
          <w:szCs w:val="28"/>
        </w:rPr>
        <w:t xml:space="preserve"> либо ворота в ноль</w:t>
      </w:r>
      <w:r w:rsidR="00B37672" w:rsidRPr="00630DEB">
        <w:rPr>
          <w:sz w:val="28"/>
          <w:szCs w:val="28"/>
        </w:rPr>
        <w:t>).</w:t>
      </w:r>
      <w:r w:rsidR="00B37672">
        <w:rPr>
          <w:sz w:val="28"/>
          <w:szCs w:val="28"/>
        </w:rPr>
        <w:t xml:space="preserve"> Устойчивым спросом пользуются складские помещения форматом «Склад </w:t>
      </w:r>
      <w:proofErr w:type="gramStart"/>
      <w:r w:rsidR="00B37672">
        <w:rPr>
          <w:sz w:val="28"/>
          <w:szCs w:val="28"/>
        </w:rPr>
        <w:t>–т</w:t>
      </w:r>
      <w:proofErr w:type="gramEnd"/>
      <w:r w:rsidR="00B37672">
        <w:rPr>
          <w:sz w:val="28"/>
          <w:szCs w:val="28"/>
        </w:rPr>
        <w:t>орговля на МКАД» нарезкой от 500 до 1000 кв.м</w:t>
      </w:r>
      <w:r w:rsidR="00FC704D">
        <w:rPr>
          <w:sz w:val="28"/>
          <w:szCs w:val="28"/>
        </w:rPr>
        <w:t xml:space="preserve">. </w:t>
      </w:r>
    </w:p>
    <w:p w:rsidR="00D2235B" w:rsidRDefault="00D2235B" w:rsidP="00B37672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</w:p>
    <w:p w:rsidR="00D2235B" w:rsidRDefault="00D2235B" w:rsidP="00D2235B">
      <w:pPr>
        <w:tabs>
          <w:tab w:val="left" w:pos="35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Арендные ставки по классам август 2016г. </w:t>
      </w:r>
    </w:p>
    <w:tbl>
      <w:tblPr>
        <w:tblW w:w="8220" w:type="dxa"/>
        <w:tblInd w:w="93" w:type="dxa"/>
        <w:tblLook w:val="04A0"/>
      </w:tblPr>
      <w:tblGrid>
        <w:gridCol w:w="3480"/>
        <w:gridCol w:w="2440"/>
        <w:gridCol w:w="2300"/>
      </w:tblGrid>
      <w:tr w:rsidR="00D2235B" w:rsidRPr="00D2235B" w:rsidTr="00D2235B">
        <w:trPr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22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</w:t>
            </w:r>
            <w:proofErr w:type="gramStart"/>
            <w:r w:rsidRPr="00D22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22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 B</w:t>
            </w:r>
          </w:p>
        </w:tc>
      </w:tr>
      <w:tr w:rsidR="00D2235B" w:rsidRPr="00D2235B" w:rsidTr="00D2235B">
        <w:trPr>
          <w:trHeight w:val="7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Общий объем качественного предложения кв</w:t>
            </w:r>
            <w:proofErr w:type="gramStart"/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 xml:space="preserve"> Минск и район 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D223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96 650</w:t>
            </w:r>
          </w:p>
        </w:tc>
      </w:tr>
      <w:tr w:rsidR="00D2235B" w:rsidRPr="00D2235B" w:rsidTr="00D2235B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 xml:space="preserve">в том числе тыс.м.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86 500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10 150</w:t>
            </w:r>
          </w:p>
        </w:tc>
      </w:tr>
      <w:tr w:rsidR="00D2235B" w:rsidRPr="00D2235B" w:rsidTr="00D2235B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Заявляемая средняя  арендная  ставка Евро с НДС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</w:tr>
      <w:tr w:rsidR="00D2235B" w:rsidRPr="00D2235B" w:rsidTr="00D2235B">
        <w:trPr>
          <w:trHeight w:val="7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 xml:space="preserve">Операционные расходы Евро с НДС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B" w:rsidRPr="00D2235B" w:rsidRDefault="00D2235B" w:rsidP="00D2235B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2235B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</w:tbl>
    <w:p w:rsidR="00D2235B" w:rsidRDefault="00D2235B" w:rsidP="00B37672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</w:p>
    <w:p w:rsidR="00D2235B" w:rsidRDefault="00D2235B" w:rsidP="00B37672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</w:p>
    <w:p w:rsidR="00801F74" w:rsidRDefault="00801F74" w:rsidP="00801F74">
      <w:pPr>
        <w:tabs>
          <w:tab w:val="left" w:pos="394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Динамика арендных средних  ставок.</w:t>
      </w:r>
    </w:p>
    <w:p w:rsidR="00D2235B" w:rsidRDefault="00801F74" w:rsidP="00801F74">
      <w:pPr>
        <w:tabs>
          <w:tab w:val="left" w:pos="394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Период декабрь 2014 – </w:t>
      </w:r>
      <w:r w:rsidR="008E6494">
        <w:rPr>
          <w:sz w:val="28"/>
          <w:szCs w:val="28"/>
        </w:rPr>
        <w:t xml:space="preserve">октябрь </w:t>
      </w:r>
      <w:r>
        <w:rPr>
          <w:sz w:val="28"/>
          <w:szCs w:val="28"/>
        </w:rPr>
        <w:t xml:space="preserve"> 2016гг.</w:t>
      </w:r>
    </w:p>
    <w:p w:rsidR="00D2235B" w:rsidRDefault="00D2235B" w:rsidP="00B37672">
      <w:pPr>
        <w:tabs>
          <w:tab w:val="left" w:pos="3945"/>
        </w:tabs>
        <w:spacing w:line="360" w:lineRule="auto"/>
        <w:jc w:val="both"/>
        <w:rPr>
          <w:noProof/>
          <w:sz w:val="28"/>
          <w:szCs w:val="28"/>
        </w:rPr>
      </w:pPr>
    </w:p>
    <w:p w:rsidR="008E6494" w:rsidRDefault="008E6494" w:rsidP="00B37672">
      <w:pPr>
        <w:tabs>
          <w:tab w:val="left" w:pos="3945"/>
        </w:tabs>
        <w:spacing w:line="360" w:lineRule="auto"/>
        <w:jc w:val="both"/>
        <w:rPr>
          <w:noProof/>
          <w:sz w:val="28"/>
          <w:szCs w:val="28"/>
        </w:rPr>
      </w:pPr>
      <w:r w:rsidRPr="008E6494">
        <w:rPr>
          <w:noProof/>
          <w:sz w:val="28"/>
          <w:szCs w:val="28"/>
        </w:rPr>
        <w:drawing>
          <wp:inline distT="0" distB="0" distL="0" distR="0">
            <wp:extent cx="5940425" cy="2239079"/>
            <wp:effectExtent l="19050" t="0" r="22225" b="882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235B" w:rsidRPr="00801F74" w:rsidRDefault="00801F74" w:rsidP="00B37672">
      <w:pPr>
        <w:tabs>
          <w:tab w:val="left" w:pos="39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Важно отметить, что это лишь заявляемые арендные  ставки. В процессе переговоров и при наличии реального арендатора  контрактная арендная  ставка за кв.м     класса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 по некоторым объектам может составить 5 Евро с НДС (при том это с наличием стеллажной системы), а за класс </w:t>
      </w:r>
      <w:r>
        <w:rPr>
          <w:sz w:val="28"/>
          <w:szCs w:val="28"/>
          <w:lang w:val="en-US"/>
        </w:rPr>
        <w:t>B</w:t>
      </w:r>
      <w:r w:rsidRPr="00801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1F74">
        <w:rPr>
          <w:sz w:val="28"/>
          <w:szCs w:val="28"/>
        </w:rPr>
        <w:t xml:space="preserve">3,8 </w:t>
      </w:r>
      <w:r>
        <w:rPr>
          <w:sz w:val="28"/>
          <w:szCs w:val="28"/>
        </w:rPr>
        <w:t xml:space="preserve"> </w:t>
      </w:r>
      <w:r w:rsidRPr="00801F74">
        <w:rPr>
          <w:sz w:val="28"/>
          <w:szCs w:val="28"/>
        </w:rPr>
        <w:t xml:space="preserve">- 4  </w:t>
      </w:r>
      <w:r>
        <w:rPr>
          <w:sz w:val="28"/>
          <w:szCs w:val="28"/>
        </w:rPr>
        <w:t xml:space="preserve">Евро с НДС. </w:t>
      </w:r>
    </w:p>
    <w:p w:rsidR="00255D8C" w:rsidRDefault="00255D8C" w:rsidP="00FC704D">
      <w:pPr>
        <w:rPr>
          <w:sz w:val="28"/>
          <w:szCs w:val="28"/>
        </w:rPr>
      </w:pPr>
    </w:p>
    <w:p w:rsidR="00255D8C" w:rsidRDefault="00255D8C" w:rsidP="00255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ПРОДАЖА СКЛАДСКИХ ПОМЕЩЕНИЙ</w:t>
      </w:r>
    </w:p>
    <w:p w:rsidR="00255D8C" w:rsidRPr="00255D8C" w:rsidRDefault="00255D8C" w:rsidP="00255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Pr="00255D8C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2016г.</w:t>
      </w:r>
      <w:proofErr w:type="gramEnd"/>
    </w:p>
    <w:p w:rsidR="00255D8C" w:rsidRPr="00255D8C" w:rsidRDefault="00255D8C" w:rsidP="00255D8C">
      <w:pPr>
        <w:rPr>
          <w:sz w:val="28"/>
          <w:szCs w:val="28"/>
        </w:rPr>
      </w:pPr>
    </w:p>
    <w:p w:rsidR="00255D8C" w:rsidRDefault="00255D8C" w:rsidP="00255D8C">
      <w:pPr>
        <w:rPr>
          <w:sz w:val="28"/>
          <w:szCs w:val="28"/>
        </w:rPr>
      </w:pPr>
    </w:p>
    <w:p w:rsidR="00255D8C" w:rsidRDefault="00255D8C" w:rsidP="00255D8C">
      <w:pPr>
        <w:rPr>
          <w:sz w:val="28"/>
          <w:szCs w:val="28"/>
        </w:rPr>
      </w:pPr>
      <w:r>
        <w:rPr>
          <w:sz w:val="28"/>
          <w:szCs w:val="28"/>
        </w:rPr>
        <w:t>СТОИМОСТЬ ЗА КВ. М В ДОЛЛАРАХ США С НДС</w:t>
      </w:r>
    </w:p>
    <w:p w:rsidR="00255D8C" w:rsidRDefault="00255D8C" w:rsidP="00255D8C">
      <w:pPr>
        <w:rPr>
          <w:sz w:val="28"/>
          <w:szCs w:val="28"/>
        </w:rPr>
      </w:pPr>
    </w:p>
    <w:p w:rsidR="00255D8C" w:rsidRDefault="00255D8C" w:rsidP="00255D8C">
      <w:pPr>
        <w:rPr>
          <w:sz w:val="28"/>
          <w:szCs w:val="28"/>
        </w:rPr>
      </w:pPr>
      <w:r w:rsidRPr="00255D8C">
        <w:rPr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5D8C" w:rsidRPr="00255D8C" w:rsidRDefault="00255D8C" w:rsidP="00255D8C">
      <w:pPr>
        <w:rPr>
          <w:sz w:val="28"/>
          <w:szCs w:val="28"/>
        </w:rPr>
      </w:pPr>
    </w:p>
    <w:p w:rsidR="00255D8C" w:rsidRDefault="00255D8C" w:rsidP="00255D8C">
      <w:pPr>
        <w:rPr>
          <w:sz w:val="28"/>
          <w:szCs w:val="28"/>
        </w:rPr>
      </w:pPr>
    </w:p>
    <w:p w:rsidR="0022180B" w:rsidRDefault="005D371B" w:rsidP="00056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D8C" w:rsidRPr="00255D8C">
        <w:rPr>
          <w:sz w:val="28"/>
          <w:szCs w:val="28"/>
        </w:rPr>
        <w:t>Доля сделок по покупке складских объектов конечными пользователями продолжает оставаться на низком уровне</w:t>
      </w:r>
      <w:r w:rsidR="00255D8C">
        <w:rPr>
          <w:sz w:val="28"/>
          <w:szCs w:val="28"/>
        </w:rPr>
        <w:t xml:space="preserve">. </w:t>
      </w:r>
      <w:r w:rsidR="00332A67" w:rsidRPr="00332A67">
        <w:rPr>
          <w:sz w:val="28"/>
          <w:szCs w:val="28"/>
        </w:rPr>
        <w:t xml:space="preserve">Стоит отметить, что в аналогичном периоде прошлого года </w:t>
      </w:r>
      <w:r w:rsidR="00056CF5">
        <w:rPr>
          <w:sz w:val="28"/>
          <w:szCs w:val="28"/>
        </w:rPr>
        <w:t xml:space="preserve">и </w:t>
      </w:r>
      <w:r w:rsidR="00332A67">
        <w:rPr>
          <w:sz w:val="28"/>
          <w:szCs w:val="28"/>
        </w:rPr>
        <w:t xml:space="preserve"> конце года  </w:t>
      </w:r>
      <w:r w:rsidR="00332A67" w:rsidRPr="00332A67">
        <w:rPr>
          <w:sz w:val="28"/>
          <w:szCs w:val="28"/>
        </w:rPr>
        <w:t xml:space="preserve">подобные сделки отсутствовали </w:t>
      </w:r>
      <w:r w:rsidR="00332A67">
        <w:rPr>
          <w:sz w:val="28"/>
          <w:szCs w:val="28"/>
        </w:rPr>
        <w:t xml:space="preserve">практически  </w:t>
      </w:r>
      <w:r w:rsidR="00332A67" w:rsidRPr="00332A67">
        <w:rPr>
          <w:sz w:val="28"/>
          <w:szCs w:val="28"/>
        </w:rPr>
        <w:t>полностью</w:t>
      </w:r>
      <w:r w:rsidR="00332A67">
        <w:rPr>
          <w:sz w:val="28"/>
          <w:szCs w:val="28"/>
        </w:rPr>
        <w:t>.</w:t>
      </w:r>
      <w:r w:rsidR="00056CF5" w:rsidRPr="00056CF5">
        <w:t xml:space="preserve"> </w:t>
      </w:r>
      <w:r w:rsidR="00056CF5" w:rsidRPr="00056CF5">
        <w:rPr>
          <w:sz w:val="28"/>
          <w:szCs w:val="28"/>
        </w:rPr>
        <w:t xml:space="preserve">Текущий объем свободных площадей на рынке, выгодные коммерческие условия аренды в совокупности с высокой </w:t>
      </w:r>
      <w:proofErr w:type="spellStart"/>
      <w:r w:rsidR="00056CF5" w:rsidRPr="00056CF5">
        <w:rPr>
          <w:sz w:val="28"/>
          <w:szCs w:val="28"/>
        </w:rPr>
        <w:t>стоим</w:t>
      </w:r>
      <w:proofErr w:type="gramStart"/>
      <w:r w:rsidR="00056CF5" w:rsidRPr="00056CF5">
        <w:rPr>
          <w:sz w:val="28"/>
          <w:szCs w:val="28"/>
        </w:rPr>
        <w:t>о</w:t>
      </w:r>
      <w:proofErr w:type="spellEnd"/>
      <w:r w:rsidR="00056CF5" w:rsidRPr="00056CF5">
        <w:rPr>
          <w:sz w:val="28"/>
          <w:szCs w:val="28"/>
        </w:rPr>
        <w:t>-</w:t>
      </w:r>
      <w:proofErr w:type="gramEnd"/>
      <w:r w:rsidR="00056CF5" w:rsidRPr="00056CF5">
        <w:rPr>
          <w:sz w:val="28"/>
          <w:szCs w:val="28"/>
        </w:rPr>
        <w:t xml:space="preserve"> </w:t>
      </w:r>
      <w:proofErr w:type="spellStart"/>
      <w:r w:rsidR="00056CF5" w:rsidRPr="00056CF5">
        <w:rPr>
          <w:sz w:val="28"/>
          <w:szCs w:val="28"/>
        </w:rPr>
        <w:t>стью</w:t>
      </w:r>
      <w:proofErr w:type="spellEnd"/>
      <w:r w:rsidR="00056CF5" w:rsidRPr="00056CF5">
        <w:rPr>
          <w:sz w:val="28"/>
          <w:szCs w:val="28"/>
        </w:rPr>
        <w:t xml:space="preserve"> заемного финансирования привели к уменьшению количества сделок по приобретению складских объектов</w:t>
      </w:r>
      <w:r w:rsidR="00056CF5">
        <w:rPr>
          <w:sz w:val="28"/>
          <w:szCs w:val="28"/>
        </w:rPr>
        <w:t xml:space="preserve">. </w:t>
      </w:r>
    </w:p>
    <w:p w:rsidR="0022180B" w:rsidRDefault="0022180B" w:rsidP="0022180B">
      <w:pPr>
        <w:jc w:val="center"/>
        <w:rPr>
          <w:sz w:val="28"/>
          <w:szCs w:val="28"/>
        </w:rPr>
      </w:pPr>
    </w:p>
    <w:p w:rsidR="0022180B" w:rsidRDefault="0022180B" w:rsidP="0022180B">
      <w:pPr>
        <w:jc w:val="center"/>
        <w:rPr>
          <w:sz w:val="28"/>
          <w:szCs w:val="28"/>
        </w:rPr>
      </w:pPr>
    </w:p>
    <w:p w:rsidR="0022180B" w:rsidRDefault="0022180B" w:rsidP="002218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РЫНКА СКЛАДСКОЙ НЕДВИЖИМОСТИ</w:t>
      </w:r>
    </w:p>
    <w:p w:rsidR="0022180B" w:rsidRPr="0022180B" w:rsidRDefault="0022180B" w:rsidP="0022180B">
      <w:pPr>
        <w:rPr>
          <w:sz w:val="28"/>
          <w:szCs w:val="28"/>
        </w:rPr>
      </w:pPr>
    </w:p>
    <w:p w:rsidR="0022180B" w:rsidRDefault="0022180B" w:rsidP="0022180B">
      <w:pPr>
        <w:rPr>
          <w:sz w:val="28"/>
          <w:szCs w:val="28"/>
        </w:rPr>
      </w:pPr>
    </w:p>
    <w:p w:rsidR="0022180B" w:rsidRDefault="0022180B" w:rsidP="002218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180B">
        <w:rPr>
          <w:sz w:val="28"/>
          <w:szCs w:val="28"/>
        </w:rPr>
        <w:t>Основные сделки будут по</w:t>
      </w:r>
      <w:r>
        <w:rPr>
          <w:sz w:val="28"/>
          <w:szCs w:val="28"/>
        </w:rPr>
        <w:t>-</w:t>
      </w:r>
      <w:r w:rsidRPr="0022180B">
        <w:rPr>
          <w:sz w:val="28"/>
          <w:szCs w:val="28"/>
        </w:rPr>
        <w:t>прежнему приходиться на торговых операторов, однако объем арендованных ими площадей будет снижаться. Многие компании, имеющие потребность в складских площадях, уже арендовали (приобре</w:t>
      </w:r>
      <w:r>
        <w:rPr>
          <w:sz w:val="28"/>
          <w:szCs w:val="28"/>
        </w:rPr>
        <w:t>л</w:t>
      </w:r>
      <w:r w:rsidRPr="0022180B">
        <w:rPr>
          <w:sz w:val="28"/>
          <w:szCs w:val="28"/>
        </w:rPr>
        <w:t>и) необходимые площади</w:t>
      </w:r>
      <w:r>
        <w:rPr>
          <w:sz w:val="28"/>
          <w:szCs w:val="28"/>
        </w:rPr>
        <w:t xml:space="preserve">, </w:t>
      </w:r>
      <w:r w:rsidRPr="0022180B">
        <w:rPr>
          <w:sz w:val="28"/>
          <w:szCs w:val="28"/>
        </w:rPr>
        <w:t xml:space="preserve"> и дальнейшее увеличение их </w:t>
      </w:r>
      <w:proofErr w:type="spellStart"/>
      <w:r w:rsidRPr="0022180B">
        <w:rPr>
          <w:sz w:val="28"/>
          <w:szCs w:val="28"/>
        </w:rPr>
        <w:t>логистических</w:t>
      </w:r>
      <w:proofErr w:type="spellEnd"/>
      <w:r w:rsidRPr="0022180B">
        <w:rPr>
          <w:sz w:val="28"/>
          <w:szCs w:val="28"/>
        </w:rPr>
        <w:t xml:space="preserve"> мощностей будет определяться во многом динамикой потребительского спроса.</w:t>
      </w:r>
      <w:r w:rsidR="00113B65">
        <w:rPr>
          <w:sz w:val="28"/>
          <w:szCs w:val="28"/>
        </w:rPr>
        <w:t xml:space="preserve"> </w:t>
      </w:r>
      <w:proofErr w:type="spellStart"/>
      <w:r w:rsidR="00113B65">
        <w:rPr>
          <w:sz w:val="28"/>
          <w:szCs w:val="28"/>
        </w:rPr>
        <w:t>Заполняемость</w:t>
      </w:r>
      <w:proofErr w:type="spellEnd"/>
      <w:r w:rsidR="00113B65">
        <w:rPr>
          <w:sz w:val="28"/>
          <w:szCs w:val="28"/>
        </w:rPr>
        <w:t xml:space="preserve">  складских площадей класса</w:t>
      </w:r>
      <w:proofErr w:type="gramStart"/>
      <w:r w:rsidR="00113B65">
        <w:rPr>
          <w:sz w:val="28"/>
          <w:szCs w:val="28"/>
        </w:rPr>
        <w:t xml:space="preserve"> А</w:t>
      </w:r>
      <w:proofErr w:type="gramEnd"/>
      <w:r w:rsidR="00113B65">
        <w:rPr>
          <w:sz w:val="28"/>
          <w:szCs w:val="28"/>
        </w:rPr>
        <w:t xml:space="preserve"> и </w:t>
      </w:r>
      <w:r w:rsidR="00113B65">
        <w:rPr>
          <w:sz w:val="28"/>
          <w:szCs w:val="28"/>
          <w:lang w:val="en-US"/>
        </w:rPr>
        <w:t>B</w:t>
      </w:r>
      <w:r w:rsidR="00113B65" w:rsidRPr="00113B65">
        <w:rPr>
          <w:sz w:val="28"/>
          <w:szCs w:val="28"/>
        </w:rPr>
        <w:t xml:space="preserve"> </w:t>
      </w:r>
      <w:r w:rsidR="00113B65">
        <w:rPr>
          <w:sz w:val="28"/>
          <w:szCs w:val="28"/>
        </w:rPr>
        <w:t xml:space="preserve">будет происходить за счет переезда торгующих компаний-оптовиков со складов старого типа и </w:t>
      </w:r>
      <w:proofErr w:type="spellStart"/>
      <w:r w:rsidR="00113B65">
        <w:rPr>
          <w:sz w:val="28"/>
          <w:szCs w:val="28"/>
        </w:rPr>
        <w:t>гособъектов</w:t>
      </w:r>
      <w:proofErr w:type="spellEnd"/>
      <w:r w:rsidR="00113B65">
        <w:rPr>
          <w:sz w:val="28"/>
          <w:szCs w:val="28"/>
        </w:rPr>
        <w:t xml:space="preserve">, которые уже в любом случае не смогут конкурировать с качественными площадями. Так же это  обусловлено   и </w:t>
      </w:r>
      <w:r w:rsidR="00113B65">
        <w:rPr>
          <w:sz w:val="28"/>
          <w:szCs w:val="28"/>
        </w:rPr>
        <w:lastRenderedPageBreak/>
        <w:t xml:space="preserve">негибкостью госструктур, имеющих недвижимость относительно частных арендаторов. </w:t>
      </w:r>
    </w:p>
    <w:p w:rsidR="0071144E" w:rsidRDefault="00CA1FE4" w:rsidP="002218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3B65">
        <w:rPr>
          <w:sz w:val="28"/>
          <w:szCs w:val="28"/>
        </w:rPr>
        <w:t>В любом случае,  в течение</w:t>
      </w:r>
      <w:r>
        <w:rPr>
          <w:sz w:val="28"/>
          <w:szCs w:val="28"/>
        </w:rPr>
        <w:t xml:space="preserve"> ближайшего полгода -</w:t>
      </w:r>
      <w:r w:rsidR="00113B65">
        <w:rPr>
          <w:sz w:val="28"/>
          <w:szCs w:val="28"/>
        </w:rPr>
        <w:t xml:space="preserve"> года качественные площади </w:t>
      </w:r>
      <w:r w:rsidR="0071144E">
        <w:rPr>
          <w:sz w:val="28"/>
          <w:szCs w:val="28"/>
        </w:rPr>
        <w:t xml:space="preserve">вблизи </w:t>
      </w:r>
      <w:r w:rsidR="00113B65">
        <w:rPr>
          <w:sz w:val="28"/>
          <w:szCs w:val="28"/>
        </w:rPr>
        <w:t xml:space="preserve">МКАД  найдут своих арендаторов, пусть не на столь сладких условиях как было ранее. </w:t>
      </w:r>
      <w:r w:rsidR="0071144E">
        <w:rPr>
          <w:sz w:val="28"/>
          <w:szCs w:val="28"/>
        </w:rPr>
        <w:t>Эти тенденции уже начинают сильно набирать обороты, и имеется определенное повышение спроса. Так как у пользователей имеется  понимание, что наличие вакантных складских площадей на МКАД, явление временное</w:t>
      </w:r>
      <w:proofErr w:type="gramStart"/>
      <w:r w:rsidR="0071144E">
        <w:rPr>
          <w:sz w:val="28"/>
          <w:szCs w:val="28"/>
        </w:rPr>
        <w:t xml:space="preserve"> ,</w:t>
      </w:r>
      <w:proofErr w:type="gramEnd"/>
      <w:r w:rsidR="0071144E">
        <w:rPr>
          <w:sz w:val="28"/>
          <w:szCs w:val="28"/>
        </w:rPr>
        <w:t xml:space="preserve"> и что в ближайшее время не будет реализовано аналогичных объектов. </w:t>
      </w:r>
    </w:p>
    <w:p w:rsidR="008B7FD1" w:rsidRDefault="0071144E" w:rsidP="00711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Большинство </w:t>
      </w:r>
      <w:r w:rsidRPr="0071144E">
        <w:rPr>
          <w:sz w:val="28"/>
          <w:szCs w:val="28"/>
        </w:rPr>
        <w:t xml:space="preserve"> </w:t>
      </w:r>
      <w:proofErr w:type="spellStart"/>
      <w:r w:rsidRPr="0071144E">
        <w:rPr>
          <w:sz w:val="28"/>
          <w:szCs w:val="28"/>
        </w:rPr>
        <w:t>девелоперов</w:t>
      </w:r>
      <w:proofErr w:type="spellEnd"/>
      <w:r w:rsidRPr="0071144E">
        <w:rPr>
          <w:sz w:val="28"/>
          <w:szCs w:val="28"/>
        </w:rPr>
        <w:t xml:space="preserve"> готов</w:t>
      </w:r>
      <w:r>
        <w:rPr>
          <w:sz w:val="28"/>
          <w:szCs w:val="28"/>
        </w:rPr>
        <w:t xml:space="preserve">о и будет </w:t>
      </w:r>
      <w:r w:rsidRPr="0071144E">
        <w:rPr>
          <w:sz w:val="28"/>
          <w:szCs w:val="28"/>
        </w:rPr>
        <w:t xml:space="preserve"> предлагать деле</w:t>
      </w:r>
      <w:r>
        <w:rPr>
          <w:sz w:val="28"/>
          <w:szCs w:val="28"/>
        </w:rPr>
        <w:t>н</w:t>
      </w:r>
      <w:r w:rsidRPr="0071144E">
        <w:rPr>
          <w:sz w:val="28"/>
          <w:szCs w:val="28"/>
        </w:rPr>
        <w:t xml:space="preserve">ие качественных складских помещений на блоки площадью </w:t>
      </w:r>
      <w:r>
        <w:rPr>
          <w:sz w:val="28"/>
          <w:szCs w:val="28"/>
        </w:rPr>
        <w:t xml:space="preserve"> от 1000  </w:t>
      </w:r>
      <w:r w:rsidRPr="0071144E">
        <w:rPr>
          <w:sz w:val="28"/>
          <w:szCs w:val="28"/>
        </w:rPr>
        <w:t>м2 для ра</w:t>
      </w:r>
      <w:proofErr w:type="gramStart"/>
      <w:r w:rsidRPr="0071144E">
        <w:rPr>
          <w:sz w:val="28"/>
          <w:szCs w:val="28"/>
        </w:rPr>
        <w:t>з-</w:t>
      </w:r>
      <w:proofErr w:type="gramEnd"/>
      <w:r w:rsidRPr="0071144E">
        <w:rPr>
          <w:sz w:val="28"/>
          <w:szCs w:val="28"/>
        </w:rPr>
        <w:t xml:space="preserve"> </w:t>
      </w:r>
      <w:proofErr w:type="spellStart"/>
      <w:r w:rsidRPr="0071144E">
        <w:rPr>
          <w:sz w:val="28"/>
          <w:szCs w:val="28"/>
        </w:rPr>
        <w:t>мещения</w:t>
      </w:r>
      <w:proofErr w:type="spellEnd"/>
      <w:r w:rsidRPr="0071144E">
        <w:rPr>
          <w:sz w:val="28"/>
          <w:szCs w:val="28"/>
        </w:rPr>
        <w:t xml:space="preserve"> компаний производственного профиля, помогая им переехать из менее качественных объектов в современные помещения, а также для компаний</w:t>
      </w:r>
      <w:r>
        <w:rPr>
          <w:sz w:val="28"/>
          <w:szCs w:val="28"/>
        </w:rPr>
        <w:t xml:space="preserve"> </w:t>
      </w:r>
      <w:r w:rsidRPr="0071144E">
        <w:rPr>
          <w:sz w:val="28"/>
          <w:szCs w:val="28"/>
        </w:rPr>
        <w:t>представителей среднего бизнеса. Акцент на клиентах с запросами на небольшие площади может увеличить количество подобных сделок в 2016–2017 гг</w:t>
      </w:r>
      <w:r>
        <w:rPr>
          <w:sz w:val="28"/>
          <w:szCs w:val="28"/>
        </w:rPr>
        <w:t xml:space="preserve">. </w:t>
      </w:r>
      <w:r w:rsidRPr="0071144E">
        <w:rPr>
          <w:sz w:val="28"/>
          <w:szCs w:val="28"/>
        </w:rPr>
        <w:t xml:space="preserve">По нашему мнению, арендные ставки на качественные складские объекты до конца 2016 г., останутся на </w:t>
      </w:r>
      <w:r>
        <w:rPr>
          <w:sz w:val="28"/>
          <w:szCs w:val="28"/>
        </w:rPr>
        <w:t xml:space="preserve">сегодняшнем </w:t>
      </w:r>
      <w:r w:rsidRPr="0071144E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. </w:t>
      </w:r>
    </w:p>
    <w:p w:rsidR="008B7FD1" w:rsidRPr="008B7FD1" w:rsidRDefault="008B7FD1" w:rsidP="008B7FD1">
      <w:pPr>
        <w:rPr>
          <w:sz w:val="28"/>
          <w:szCs w:val="28"/>
        </w:rPr>
      </w:pPr>
    </w:p>
    <w:p w:rsidR="008B7FD1" w:rsidRPr="008B7FD1" w:rsidRDefault="008B7FD1" w:rsidP="008B7FD1">
      <w:pPr>
        <w:rPr>
          <w:sz w:val="28"/>
          <w:szCs w:val="28"/>
        </w:rPr>
      </w:pPr>
    </w:p>
    <w:p w:rsidR="008B7FD1" w:rsidRDefault="008B7FD1" w:rsidP="008B7FD1">
      <w:pPr>
        <w:rPr>
          <w:sz w:val="28"/>
          <w:szCs w:val="28"/>
        </w:rPr>
      </w:pPr>
    </w:p>
    <w:p w:rsidR="00113B65" w:rsidRDefault="008B7FD1" w:rsidP="008B7FD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ООО «Ай Кью </w:t>
      </w:r>
      <w:proofErr w:type="spellStart"/>
      <w:r>
        <w:rPr>
          <w:sz w:val="28"/>
          <w:szCs w:val="28"/>
        </w:rPr>
        <w:t>Проперти</w:t>
      </w:r>
      <w:proofErr w:type="spellEnd"/>
      <w:r>
        <w:rPr>
          <w:sz w:val="28"/>
          <w:szCs w:val="28"/>
        </w:rPr>
        <w:t xml:space="preserve"> Групп»</w:t>
      </w:r>
    </w:p>
    <w:p w:rsidR="008B7FD1" w:rsidRDefault="008B7FD1" w:rsidP="008B7FD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Кристина </w:t>
      </w:r>
      <w:proofErr w:type="spellStart"/>
      <w:r>
        <w:rPr>
          <w:sz w:val="28"/>
          <w:szCs w:val="28"/>
        </w:rPr>
        <w:t>Крупатина</w:t>
      </w:r>
      <w:proofErr w:type="spellEnd"/>
    </w:p>
    <w:p w:rsidR="008B7FD1" w:rsidRPr="008B7FD1" w:rsidRDefault="008B7FD1" w:rsidP="008B7FD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+375296278786</w:t>
      </w:r>
    </w:p>
    <w:sectPr w:rsidR="008B7FD1" w:rsidRPr="008B7FD1" w:rsidSect="004421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E6" w:rsidRDefault="00E37EE6" w:rsidP="004367E2">
      <w:r>
        <w:separator/>
      </w:r>
    </w:p>
  </w:endnote>
  <w:endnote w:type="continuationSeparator" w:id="0">
    <w:p w:rsidR="00E37EE6" w:rsidRDefault="00E37EE6" w:rsidP="0043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73657"/>
      <w:docPartObj>
        <w:docPartGallery w:val="Page Numbers (Bottom of Page)"/>
        <w:docPartUnique/>
      </w:docPartObj>
    </w:sdtPr>
    <w:sdtContent>
      <w:p w:rsidR="00113B65" w:rsidRDefault="00156330">
        <w:pPr>
          <w:pStyle w:val="a5"/>
          <w:jc w:val="center"/>
        </w:pPr>
        <w:fldSimple w:instr=" PAGE   \* MERGEFORMAT ">
          <w:r w:rsidR="008B7FD1">
            <w:rPr>
              <w:noProof/>
            </w:rPr>
            <w:t>6</w:t>
          </w:r>
        </w:fldSimple>
      </w:p>
    </w:sdtContent>
  </w:sdt>
  <w:p w:rsidR="00113B65" w:rsidRPr="000347A2" w:rsidRDefault="008E6494" w:rsidP="004367E2">
    <w:pPr>
      <w:pStyle w:val="a5"/>
      <w:jc w:val="center"/>
      <w:rPr>
        <w:b/>
        <w:color w:val="4F6228" w:themeColor="accent3" w:themeShade="80"/>
      </w:rPr>
    </w:pPr>
    <w:r>
      <w:rPr>
        <w:b/>
        <w:color w:val="4F6228" w:themeColor="accent3" w:themeShade="80"/>
      </w:rPr>
      <w:t>ПОДГОТОВЛЕН</w:t>
    </w:r>
    <w:proofErr w:type="gramStart"/>
    <w:r>
      <w:rPr>
        <w:b/>
        <w:color w:val="4F6228" w:themeColor="accent3" w:themeShade="80"/>
      </w:rPr>
      <w:t>О ООО</w:t>
    </w:r>
    <w:proofErr w:type="gramEnd"/>
    <w:r>
      <w:rPr>
        <w:b/>
        <w:color w:val="4F6228" w:themeColor="accent3" w:themeShade="80"/>
      </w:rPr>
      <w:t xml:space="preserve">    «Ай Кью </w:t>
    </w:r>
    <w:proofErr w:type="spellStart"/>
    <w:r>
      <w:rPr>
        <w:b/>
        <w:color w:val="4F6228" w:themeColor="accent3" w:themeShade="80"/>
      </w:rPr>
      <w:t>Проперти</w:t>
    </w:r>
    <w:proofErr w:type="spellEnd"/>
    <w:r>
      <w:rPr>
        <w:b/>
        <w:color w:val="4F6228" w:themeColor="accent3" w:themeShade="80"/>
      </w:rPr>
      <w:t xml:space="preserve"> Групп»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E6" w:rsidRDefault="00E37EE6" w:rsidP="004367E2">
      <w:r>
        <w:separator/>
      </w:r>
    </w:p>
  </w:footnote>
  <w:footnote w:type="continuationSeparator" w:id="0">
    <w:p w:rsidR="00E37EE6" w:rsidRDefault="00E37EE6" w:rsidP="00436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67E2"/>
    <w:rsid w:val="000347A2"/>
    <w:rsid w:val="00056CF5"/>
    <w:rsid w:val="0007047D"/>
    <w:rsid w:val="000A5EF4"/>
    <w:rsid w:val="00113B65"/>
    <w:rsid w:val="00156330"/>
    <w:rsid w:val="0022180B"/>
    <w:rsid w:val="00255D8C"/>
    <w:rsid w:val="002754E7"/>
    <w:rsid w:val="002F4835"/>
    <w:rsid w:val="00332A67"/>
    <w:rsid w:val="004367E2"/>
    <w:rsid w:val="0044211C"/>
    <w:rsid w:val="00452AFB"/>
    <w:rsid w:val="005D371B"/>
    <w:rsid w:val="0061713C"/>
    <w:rsid w:val="00640EDA"/>
    <w:rsid w:val="006558E8"/>
    <w:rsid w:val="00673DD8"/>
    <w:rsid w:val="0071144E"/>
    <w:rsid w:val="00757E3E"/>
    <w:rsid w:val="00801F74"/>
    <w:rsid w:val="008B7FD1"/>
    <w:rsid w:val="008E6494"/>
    <w:rsid w:val="00900E6C"/>
    <w:rsid w:val="00940C03"/>
    <w:rsid w:val="00A2378A"/>
    <w:rsid w:val="00B37672"/>
    <w:rsid w:val="00C25BF2"/>
    <w:rsid w:val="00CA1FE4"/>
    <w:rsid w:val="00CB04CF"/>
    <w:rsid w:val="00D2235B"/>
    <w:rsid w:val="00E37EE6"/>
    <w:rsid w:val="00E4066A"/>
    <w:rsid w:val="00F749DE"/>
    <w:rsid w:val="00FA61B4"/>
    <w:rsid w:val="00FC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7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7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\New%20life%202013\&#1056;&#1040;&#1041;&#1054;&#1058;&#1040;%20&#1042;&#1057;&#1045;\&#1050;&#1054;&#1052;&#1055;&#1040;&#1053;&#1048;&#1071;%20&#1042;&#1057;&#1045;%20&#1044;&#1054;&#1050;&#1048;\&#1044;&#1086;&#1075;&#1086;&#1074;&#1086;&#1088;&#1072;%20&#1088;&#1072;&#1073;&#1086;&#1095;&#1080;&#1077;%20&#1087;&#1086;%20&#1086;&#1073;&#1098;&#1077;&#1082;&#1090;&#1072;&#1084;\&#1048;&#1089;&#1089;&#1083;&#1077;&#1076;&#1086;&#1074;&#1072;&#1085;&#1080;&#1103;%20&#1082;%20&#1076;&#1086;&#1075;&#1086;&#1074;&#1086;&#1088;&#1072;&#1084;\&#1040;&#1085;&#1072;&#1083;&#1080;&#1079;%20&#1088;&#1099;&#1085;&#1082;&#1072;%20&#1072;&#1074;&#1075;&#1091;&#1089;&#1090;%202016%20&#1075;&#1086;&#1076;&#1072;\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\New%20life%202013\&#1056;&#1040;&#1041;&#1054;&#1058;&#1040;%20&#1042;&#1057;&#1045;\&#1050;&#1054;&#1052;&#1055;&#1040;&#1053;&#1048;&#1071;%20&#1042;&#1057;&#1045;%20&#1044;&#1054;&#1050;&#1048;\&#1044;&#1086;&#1075;&#1086;&#1074;&#1086;&#1088;&#1072;%20&#1088;&#1072;&#1073;&#1086;&#1095;&#1080;&#1077;%20&#1087;&#1086;%20&#1086;&#1073;&#1098;&#1077;&#1082;&#1090;&#1072;&#1084;\&#1048;&#1089;&#1089;&#1083;&#1077;&#1076;&#1086;&#1074;&#1072;&#1085;&#1080;&#1103;%20&#1082;%20&#1076;&#1086;&#1075;&#1086;&#1074;&#1086;&#1088;&#1072;&#1084;\&#1040;&#1085;&#1072;&#1083;&#1080;&#1079;%20&#1088;&#1099;&#1085;&#1082;&#1072;%20&#1072;&#1074;&#1075;&#1091;&#1089;&#1090;%202016%20&#1075;&#1086;&#1076;&#1072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Лист1!$A$35</c:f>
              <c:strCache>
                <c:ptCount val="1"/>
                <c:pt idx="0">
                  <c:v>Класс С</c:v>
                </c:pt>
              </c:strCache>
            </c:strRef>
          </c:tx>
          <c:dLbls>
            <c:showVal val="1"/>
          </c:dLbls>
          <c:cat>
            <c:numRef>
              <c:f>Лист1!$B$34:$Q$34</c:f>
              <c:numCache>
                <c:formatCode>mmm/yy</c:formatCode>
                <c:ptCount val="16"/>
                <c:pt idx="0">
                  <c:v>41974</c:v>
                </c:pt>
                <c:pt idx="1">
                  <c:v>42005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42583</c:v>
                </c:pt>
                <c:pt idx="14">
                  <c:v>42614</c:v>
                </c:pt>
                <c:pt idx="15">
                  <c:v>42644</c:v>
                </c:pt>
              </c:numCache>
            </c:numRef>
          </c:cat>
          <c:val>
            <c:numRef>
              <c:f>Лист1!$B$35:$Q$35</c:f>
              <c:numCache>
                <c:formatCode>General</c:formatCode>
                <c:ptCount val="1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3.5</c:v>
                </c:pt>
                <c:pt idx="10">
                  <c:v>3</c:v>
                </c:pt>
                <c:pt idx="11">
                  <c:v>3</c:v>
                </c:pt>
                <c:pt idx="12">
                  <c:v>2.5</c:v>
                </c:pt>
                <c:pt idx="13">
                  <c:v>2.2999999999999998</c:v>
                </c:pt>
                <c:pt idx="14">
                  <c:v>2.2000000000000002</c:v>
                </c:pt>
                <c:pt idx="15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Лист1!$A$36</c:f>
              <c:strCache>
                <c:ptCount val="1"/>
                <c:pt idx="0">
                  <c:v>Класс В</c:v>
                </c:pt>
              </c:strCache>
            </c:strRef>
          </c:tx>
          <c:dLbls>
            <c:showVal val="1"/>
          </c:dLbls>
          <c:cat>
            <c:numRef>
              <c:f>Лист1!$B$34:$Q$34</c:f>
              <c:numCache>
                <c:formatCode>mmm/yy</c:formatCode>
                <c:ptCount val="16"/>
                <c:pt idx="0">
                  <c:v>41974</c:v>
                </c:pt>
                <c:pt idx="1">
                  <c:v>42005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42583</c:v>
                </c:pt>
                <c:pt idx="14">
                  <c:v>42614</c:v>
                </c:pt>
                <c:pt idx="15">
                  <c:v>42644</c:v>
                </c:pt>
              </c:numCache>
            </c:numRef>
          </c:cat>
          <c:val>
            <c:numRef>
              <c:f>Лист1!$B$36:$Q$36</c:f>
              <c:numCache>
                <c:formatCode>General</c:formatCode>
                <c:ptCount val="16"/>
                <c:pt idx="0">
                  <c:v>9.3000000000000007</c:v>
                </c:pt>
                <c:pt idx="1">
                  <c:v>8.3000000000000007</c:v>
                </c:pt>
                <c:pt idx="2">
                  <c:v>7.5</c:v>
                </c:pt>
                <c:pt idx="3">
                  <c:v>7.5</c:v>
                </c:pt>
                <c:pt idx="4">
                  <c:v>7.5</c:v>
                </c:pt>
                <c:pt idx="5">
                  <c:v>7.5</c:v>
                </c:pt>
                <c:pt idx="6">
                  <c:v>7</c:v>
                </c:pt>
                <c:pt idx="7">
                  <c:v>6.7</c:v>
                </c:pt>
                <c:pt idx="8">
                  <c:v>6.7</c:v>
                </c:pt>
                <c:pt idx="9">
                  <c:v>6.5</c:v>
                </c:pt>
                <c:pt idx="10">
                  <c:v>6</c:v>
                </c:pt>
                <c:pt idx="11">
                  <c:v>6</c:v>
                </c:pt>
                <c:pt idx="12">
                  <c:v>5.5</c:v>
                </c:pt>
                <c:pt idx="13">
                  <c:v>4.7</c:v>
                </c:pt>
                <c:pt idx="14">
                  <c:v>4.5</c:v>
                </c:pt>
                <c:pt idx="15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Лист1!$A$37</c:f>
              <c:strCache>
                <c:ptCount val="1"/>
                <c:pt idx="0">
                  <c:v>Класс А </c:v>
                </c:pt>
              </c:strCache>
            </c:strRef>
          </c:tx>
          <c:dLbls>
            <c:showVal val="1"/>
          </c:dLbls>
          <c:cat>
            <c:numRef>
              <c:f>Лист1!$B$34:$Q$34</c:f>
              <c:numCache>
                <c:formatCode>mmm/yy</c:formatCode>
                <c:ptCount val="16"/>
                <c:pt idx="0">
                  <c:v>41974</c:v>
                </c:pt>
                <c:pt idx="1">
                  <c:v>42005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42583</c:v>
                </c:pt>
                <c:pt idx="14">
                  <c:v>42614</c:v>
                </c:pt>
                <c:pt idx="15">
                  <c:v>42644</c:v>
                </c:pt>
              </c:numCache>
            </c:numRef>
          </c:cat>
          <c:val>
            <c:numRef>
              <c:f>Лист1!$B$37:$Q$37</c:f>
              <c:numCache>
                <c:formatCode>General</c:formatCode>
                <c:ptCount val="16"/>
                <c:pt idx="0">
                  <c:v>11</c:v>
                </c:pt>
                <c:pt idx="1">
                  <c:v>9.6</c:v>
                </c:pt>
                <c:pt idx="2">
                  <c:v>9.5</c:v>
                </c:pt>
                <c:pt idx="3">
                  <c:v>9.5</c:v>
                </c:pt>
                <c:pt idx="4">
                  <c:v>8.8000000000000007</c:v>
                </c:pt>
                <c:pt idx="5">
                  <c:v>8.8000000000000007</c:v>
                </c:pt>
                <c:pt idx="6">
                  <c:v>8.5</c:v>
                </c:pt>
                <c:pt idx="7">
                  <c:v>8.2000000000000011</c:v>
                </c:pt>
                <c:pt idx="8">
                  <c:v>8.2000000000000011</c:v>
                </c:pt>
                <c:pt idx="9">
                  <c:v>7.5</c:v>
                </c:pt>
                <c:pt idx="10">
                  <c:v>7.2</c:v>
                </c:pt>
                <c:pt idx="11">
                  <c:v>7</c:v>
                </c:pt>
                <c:pt idx="12">
                  <c:v>7</c:v>
                </c:pt>
                <c:pt idx="13">
                  <c:v>6.3</c:v>
                </c:pt>
                <c:pt idx="14">
                  <c:v>6</c:v>
                </c:pt>
                <c:pt idx="15">
                  <c:v>5.7</c:v>
                </c:pt>
              </c:numCache>
            </c:numRef>
          </c:val>
        </c:ser>
        <c:marker val="1"/>
        <c:axId val="52801920"/>
        <c:axId val="52806784"/>
      </c:lineChart>
      <c:dateAx>
        <c:axId val="52801920"/>
        <c:scaling>
          <c:orientation val="minMax"/>
        </c:scaling>
        <c:axPos val="b"/>
        <c:numFmt formatCode="mmm/yy" sourceLinked="1"/>
        <c:tickLblPos val="nextTo"/>
        <c:crossAx val="52806784"/>
        <c:crosses val="autoZero"/>
        <c:auto val="1"/>
        <c:lblOffset val="100"/>
      </c:dateAx>
      <c:valAx>
        <c:axId val="52806784"/>
        <c:scaling>
          <c:orientation val="minMax"/>
        </c:scaling>
        <c:axPos val="l"/>
        <c:majorGridlines/>
        <c:numFmt formatCode="General" sourceLinked="1"/>
        <c:tickLblPos val="nextTo"/>
        <c:crossAx val="52801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Лист2!$B$6</c:f>
              <c:strCache>
                <c:ptCount val="1"/>
                <c:pt idx="0">
                  <c:v>Продажа </c:v>
                </c:pt>
              </c:strCache>
            </c:strRef>
          </c:tx>
          <c:dLbls>
            <c:showVal val="1"/>
          </c:dLbls>
          <c:cat>
            <c:strRef>
              <c:f>Лист2!$A$7:$A$9</c:f>
              <c:strCache>
                <c:ptCount val="3"/>
                <c:pt idx="0">
                  <c:v>Класс А</c:v>
                </c:pt>
                <c:pt idx="1">
                  <c:v>Класс  B</c:v>
                </c:pt>
                <c:pt idx="2">
                  <c:v>Класс С </c:v>
                </c:pt>
              </c:strCache>
            </c:strRef>
          </c:cat>
          <c:val>
            <c:numRef>
              <c:f>Лист2!$B$7:$B$9</c:f>
              <c:numCache>
                <c:formatCode>General</c:formatCode>
                <c:ptCount val="3"/>
                <c:pt idx="0">
                  <c:v>800</c:v>
                </c:pt>
                <c:pt idx="1">
                  <c:v>650</c:v>
                </c:pt>
                <c:pt idx="2">
                  <c:v>300</c:v>
                </c:pt>
              </c:numCache>
            </c:numRef>
          </c:val>
        </c:ser>
        <c:ser>
          <c:idx val="1"/>
          <c:order val="1"/>
          <c:tx>
            <c:strRef>
              <c:f>Лист2!$C$6</c:f>
              <c:strCache>
                <c:ptCount val="1"/>
                <c:pt idx="0">
                  <c:v>Долевое строительство</c:v>
                </c:pt>
              </c:strCache>
            </c:strRef>
          </c:tx>
          <c:dLbls>
            <c:showVal val="1"/>
          </c:dLbls>
          <c:cat>
            <c:strRef>
              <c:f>Лист2!$A$7:$A$9</c:f>
              <c:strCache>
                <c:ptCount val="3"/>
                <c:pt idx="0">
                  <c:v>Класс А</c:v>
                </c:pt>
                <c:pt idx="1">
                  <c:v>Класс  B</c:v>
                </c:pt>
                <c:pt idx="2">
                  <c:v>Класс С </c:v>
                </c:pt>
              </c:strCache>
            </c:strRef>
          </c:cat>
          <c:val>
            <c:numRef>
              <c:f>Лист2!$C$7:$C$9</c:f>
              <c:numCache>
                <c:formatCode>General</c:formatCode>
                <c:ptCount val="3"/>
                <c:pt idx="0">
                  <c:v>700</c:v>
                </c:pt>
                <c:pt idx="1">
                  <c:v>600</c:v>
                </c:pt>
              </c:numCache>
            </c:numRef>
          </c:val>
        </c:ser>
        <c:axId val="64177664"/>
        <c:axId val="64179584"/>
      </c:barChart>
      <c:catAx>
        <c:axId val="64177664"/>
        <c:scaling>
          <c:orientation val="minMax"/>
        </c:scaling>
        <c:axPos val="b"/>
        <c:tickLblPos val="nextTo"/>
        <c:crossAx val="64179584"/>
        <c:crosses val="autoZero"/>
        <c:auto val="1"/>
        <c:lblAlgn val="ctr"/>
        <c:lblOffset val="100"/>
      </c:catAx>
      <c:valAx>
        <c:axId val="64179584"/>
        <c:scaling>
          <c:orientation val="minMax"/>
        </c:scaling>
        <c:axPos val="l"/>
        <c:majorGridlines/>
        <c:numFmt formatCode="General" sourceLinked="1"/>
        <c:tickLblPos val="nextTo"/>
        <c:crossAx val="64177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B495-59C7-496A-8AE1-6BEEB75C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24</cp:revision>
  <dcterms:created xsi:type="dcterms:W3CDTF">2016-08-21T13:13:00Z</dcterms:created>
  <dcterms:modified xsi:type="dcterms:W3CDTF">2016-11-08T15:15:00Z</dcterms:modified>
</cp:coreProperties>
</file>